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3BA" w:rsidRPr="003D2E00" w:rsidRDefault="00DC03BA" w:rsidP="00DC03BA">
      <w:pPr>
        <w:spacing w:before="100" w:beforeAutospacing="1" w:after="100" w:afterAutospacing="1"/>
        <w:rPr>
          <w:sz w:val="36"/>
          <w:szCs w:val="36"/>
        </w:rPr>
      </w:pPr>
      <w:r w:rsidRPr="003D2E00">
        <w:rPr>
          <w:rFonts w:ascii="Palatino Linotype" w:hAnsi="Palatino Linotype"/>
          <w:b/>
          <w:bCs/>
          <w:sz w:val="36"/>
          <w:szCs w:val="36"/>
        </w:rPr>
        <w:t>Richardas Vagneris</w:t>
      </w:r>
      <w:r>
        <w:rPr>
          <w:sz w:val="36"/>
          <w:szCs w:val="36"/>
        </w:rPr>
        <w:t xml:space="preserve"> </w:t>
      </w:r>
      <w:r w:rsidRPr="003D2E00">
        <w:rPr>
          <w:rFonts w:ascii="Palatino Linotype" w:hAnsi="Palatino Linotype"/>
          <w:b/>
          <w:bCs/>
          <w:sz w:val="28"/>
          <w:szCs w:val="28"/>
        </w:rPr>
        <w:t>(</w:t>
      </w:r>
      <w:proofErr w:type="spellStart"/>
      <w:r w:rsidRPr="003D2E00">
        <w:rPr>
          <w:rFonts w:ascii="Palatino Linotype" w:hAnsi="Palatino Linotype"/>
          <w:b/>
          <w:bCs/>
          <w:sz w:val="28"/>
          <w:szCs w:val="28"/>
        </w:rPr>
        <w:t>Richard</w:t>
      </w:r>
      <w:proofErr w:type="spellEnd"/>
      <w:r w:rsidRPr="003D2E0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D2E00">
        <w:rPr>
          <w:rFonts w:ascii="Palatino Linotype" w:hAnsi="Palatino Linotype"/>
          <w:b/>
          <w:bCs/>
          <w:sz w:val="28"/>
          <w:szCs w:val="28"/>
        </w:rPr>
        <w:t>Wagner</w:t>
      </w:r>
      <w:proofErr w:type="spellEnd"/>
      <w:r w:rsidRPr="003D2E00">
        <w:rPr>
          <w:rFonts w:ascii="Palatino Linotype" w:hAnsi="Palatino Linotype"/>
          <w:b/>
          <w:bCs/>
          <w:sz w:val="28"/>
          <w:szCs w:val="28"/>
        </w:rPr>
        <w:t>) (1813–1883)</w:t>
      </w:r>
    </w:p>
    <w:p w:rsidR="00692D9C" w:rsidRDefault="00DC03BA">
      <w:r>
        <w:rPr>
          <w:noProof/>
        </w:rPr>
        <w:drawing>
          <wp:inline distT="0" distB="0" distL="0" distR="0" wp14:anchorId="2D3D1876">
            <wp:extent cx="1266825" cy="1743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3BA">
        <w:t xml:space="preserve"> </w:t>
      </w:r>
      <w:r w:rsidRPr="00DC03BA">
        <w:t>R. Vagneris – vienas žymiausių XIX a. antrosios pusės vokiečių kompozitorių, paskutinis muzikas romantikas, pasižymėjęs drąsiu novatoriškumu ir didžiuliais užmojais. Jis − ne tik kompozitorius, bet ir dirigentas, poetas ir dramaturgas, visų 13 savo operų libretų autorius.</w:t>
      </w:r>
    </w:p>
    <w:p w:rsidR="00DC03BA" w:rsidRPr="003D2E00" w:rsidRDefault="00DC03BA" w:rsidP="00DC03BA">
      <w:pPr>
        <w:pStyle w:val="prastasiniatinklio"/>
        <w:ind w:firstLine="420"/>
        <w:jc w:val="both"/>
      </w:pPr>
      <w:r w:rsidRPr="003D2E00">
        <w:rPr>
          <w:b/>
          <w:bCs/>
        </w:rPr>
        <w:t>Svarbiausi gyvenimo faktai</w:t>
      </w:r>
    </w:p>
    <w:p w:rsidR="00DC03BA" w:rsidRPr="003D2E00" w:rsidRDefault="00DC03BA" w:rsidP="00DC03BA">
      <w:pPr>
        <w:spacing w:before="100" w:beforeAutospacing="1" w:after="100" w:afterAutospacing="1"/>
        <w:jc w:val="both"/>
      </w:pPr>
      <w:r w:rsidRPr="003D2E00">
        <w:t>     Richardas Vagneris gimė 1813 m. gegužės 22 d. Leipcige policijos valdinink</w:t>
      </w:r>
      <w:r>
        <w:t xml:space="preserve">o šeimoje. Tėvui anksti </w:t>
      </w:r>
      <w:proofErr w:type="spellStart"/>
      <w:r>
        <w:t>mirus,</w:t>
      </w:r>
      <w:r w:rsidRPr="003D2E00">
        <w:t>šeima</w:t>
      </w:r>
      <w:proofErr w:type="spellEnd"/>
      <w:r w:rsidRPr="003D2E00">
        <w:t xml:space="preserve"> persikėlė gyventi į Drezdeną. Berniuką supo teatrinė aplinka, jis mėgo literatūrą, žavėjosi Homero, V. Šekspyro veikalais. </w:t>
      </w:r>
    </w:p>
    <w:p w:rsidR="00DC03BA" w:rsidRPr="009C31D1" w:rsidRDefault="00DC03BA" w:rsidP="00DC03BA">
      <w:pPr>
        <w:pStyle w:val="prastasiniatinklio"/>
        <w:jc w:val="both"/>
      </w:pPr>
      <w:r w:rsidRPr="003D2E00">
        <w:t>Didelę įtaką muzikiniam Vagnerio brendimui darė Leipcigo „</w:t>
      </w:r>
      <w:proofErr w:type="spellStart"/>
      <w:r w:rsidRPr="003D2E00">
        <w:t>Gevandhauzo</w:t>
      </w:r>
      <w:proofErr w:type="spellEnd"/>
      <w:r w:rsidRPr="003D2E00">
        <w:t xml:space="preserve">“ koncertai. Išgirdęs Vėberio „Stebuklingąjį šaulį“, Bethoveno simfonijas, jaunuolis nutarė tapti kompozitoriumi. Trumpai pasimokęs Leipcigo universitete (muzikos studentas) ir privačiai, jis pradėjo savarankišką kūrybos kelią. </w:t>
      </w:r>
    </w:p>
    <w:p w:rsidR="00DC03BA" w:rsidRPr="00852A21" w:rsidRDefault="00DC03BA" w:rsidP="00DC03BA">
      <w:pPr>
        <w:pStyle w:val="prastasiniatinklio"/>
        <w:jc w:val="both"/>
      </w:pPr>
      <w:r w:rsidRPr="00852A21">
        <w:t>Nuo 1833 m. prasideda klajonių metai, rašomos pirmosios operos. Pagaliau jis atsiduria Paryžiuje – tuometiniame Europos meno centre. Čia tikėjosi išgarsėti, tačiau svajonė neišsipildė. Paryžiuje praleidęs beveik ketverius vargingus metus, 1842 m. kompozitorius grįžo į tėvynę. Drezdene buvo pastatytos operos „</w:t>
      </w:r>
      <w:proofErr w:type="spellStart"/>
      <w:r w:rsidRPr="00852A21">
        <w:t>Rienci</w:t>
      </w:r>
      <w:proofErr w:type="spellEnd"/>
      <w:r w:rsidRPr="00852A21">
        <w:t>“ ir „Skrajojantis olandas“. Tapęs populiarus buvo paskirtas Drezdeno operos direktoriumi. Parašo „</w:t>
      </w:r>
      <w:proofErr w:type="spellStart"/>
      <w:r w:rsidRPr="00852A21">
        <w:t>Tanhoizerį</w:t>
      </w:r>
      <w:proofErr w:type="spellEnd"/>
      <w:r w:rsidRPr="00852A21">
        <w:t>“ ir „</w:t>
      </w:r>
      <w:proofErr w:type="spellStart"/>
      <w:r w:rsidRPr="00852A21">
        <w:t>Lohengriną</w:t>
      </w:r>
      <w:proofErr w:type="spellEnd"/>
      <w:r w:rsidRPr="00852A21">
        <w:t>“.</w:t>
      </w:r>
    </w:p>
    <w:p w:rsidR="00DC03BA" w:rsidRPr="00852A21" w:rsidRDefault="00DC03BA" w:rsidP="00DC03BA">
      <w:pPr>
        <w:pStyle w:val="prastasiniatinklio"/>
        <w:jc w:val="both"/>
      </w:pPr>
      <w:r w:rsidRPr="00852A21">
        <w:t>   Drezdene Vagneris išvystė aktyvią muzikinę visuomeninę veiklą, ėmėsi kritiko publicisto plunksnos.</w:t>
      </w:r>
      <w:r>
        <w:t xml:space="preserve"> </w:t>
      </w:r>
      <w:r w:rsidRPr="00852A21">
        <w:t>1849 m. Drezdene įsiliepsnojus revoliucijai, kompozitorius su ginklu rankoje stojo į sukilėlių pusę. Sukilimui pralaimėjus, jis buvo priverstas bėgti į Ciurichą. Prasidėjo „šveicariškoji tremtis“, trukusi 10 metų. Parašė daug straipsnių. Naujas idėjas kūrėjas realizavo keturių muzikinių dramų cikle (tetralogijoje) „</w:t>
      </w:r>
      <w:proofErr w:type="spellStart"/>
      <w:r w:rsidRPr="00852A21">
        <w:t>Nybelungo</w:t>
      </w:r>
      <w:proofErr w:type="spellEnd"/>
      <w:r w:rsidRPr="00852A21">
        <w:t xml:space="preserve"> žiedas“, imasi „Tristano ir Izoldos“. </w:t>
      </w:r>
    </w:p>
    <w:p w:rsidR="00DC03BA" w:rsidRDefault="00DC03BA">
      <w:r>
        <w:rPr>
          <w:noProof/>
        </w:rPr>
        <w:drawing>
          <wp:inline distT="0" distB="0" distL="0" distR="0" wp14:anchorId="68D3697D">
            <wp:extent cx="1304925" cy="16954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15E8E2F8">
            <wp:extent cx="1219200" cy="17526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3BA" w:rsidRPr="00852A21" w:rsidRDefault="00DC03BA" w:rsidP="00DC03BA">
      <w:pPr>
        <w:spacing w:before="100" w:beforeAutospacing="1" w:after="100" w:afterAutospacing="1"/>
        <w:jc w:val="both"/>
        <w:rPr>
          <w:i/>
          <w:sz w:val="16"/>
          <w:szCs w:val="16"/>
        </w:rPr>
      </w:pPr>
      <w:proofErr w:type="spellStart"/>
      <w:r w:rsidRPr="00852A21">
        <w:rPr>
          <w:i/>
          <w:sz w:val="16"/>
          <w:szCs w:val="16"/>
        </w:rPr>
        <w:t>Cosima</w:t>
      </w:r>
      <w:proofErr w:type="spellEnd"/>
      <w:r w:rsidRPr="00852A21">
        <w:rPr>
          <w:i/>
          <w:sz w:val="16"/>
          <w:szCs w:val="16"/>
        </w:rPr>
        <w:t xml:space="preserve"> </w:t>
      </w:r>
      <w:proofErr w:type="spellStart"/>
      <w:r w:rsidRPr="00852A21">
        <w:rPr>
          <w:i/>
          <w:sz w:val="16"/>
          <w:szCs w:val="16"/>
        </w:rPr>
        <w:t>Wagner</w:t>
      </w:r>
      <w:proofErr w:type="spellEnd"/>
      <w:r w:rsidRPr="00852A21">
        <w:rPr>
          <w:i/>
          <w:sz w:val="16"/>
          <w:szCs w:val="16"/>
        </w:rPr>
        <w:t xml:space="preserve">                               </w:t>
      </w:r>
      <w:proofErr w:type="spellStart"/>
      <w:r w:rsidRPr="00852A21">
        <w:rPr>
          <w:rStyle w:val="mw-mmv-title"/>
          <w:i/>
          <w:sz w:val="16"/>
          <w:szCs w:val="16"/>
        </w:rPr>
        <w:t>Richard</w:t>
      </w:r>
      <w:proofErr w:type="spellEnd"/>
      <w:r w:rsidRPr="00852A21">
        <w:rPr>
          <w:rStyle w:val="mw-mmv-title"/>
          <w:i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sz w:val="16"/>
          <w:szCs w:val="16"/>
        </w:rPr>
        <w:t>and</w:t>
      </w:r>
      <w:proofErr w:type="spellEnd"/>
      <w:r w:rsidRPr="00852A21">
        <w:rPr>
          <w:rStyle w:val="mw-mmv-title"/>
          <w:i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sz w:val="16"/>
          <w:szCs w:val="16"/>
        </w:rPr>
        <w:t>Cosima</w:t>
      </w:r>
      <w:proofErr w:type="spellEnd"/>
      <w:r w:rsidRPr="00852A21">
        <w:rPr>
          <w:rStyle w:val="mw-mmv-title"/>
          <w:i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sz w:val="16"/>
          <w:szCs w:val="16"/>
        </w:rPr>
        <w:t>Wagner</w:t>
      </w:r>
      <w:proofErr w:type="spellEnd"/>
      <w:r w:rsidRPr="00852A21">
        <w:rPr>
          <w:rStyle w:val="mw-mmv-title"/>
          <w:i/>
          <w:sz w:val="16"/>
          <w:szCs w:val="16"/>
        </w:rPr>
        <w:t xml:space="preserve">, </w:t>
      </w:r>
      <w:proofErr w:type="spellStart"/>
      <w:r w:rsidRPr="00852A21">
        <w:rPr>
          <w:rStyle w:val="mw-mmv-title"/>
          <w:i/>
          <w:sz w:val="16"/>
          <w:szCs w:val="16"/>
        </w:rPr>
        <w:t>photographed</w:t>
      </w:r>
      <w:proofErr w:type="spellEnd"/>
      <w:r w:rsidRPr="00852A21">
        <w:rPr>
          <w:rStyle w:val="mw-mmv-title"/>
          <w:i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sz w:val="16"/>
          <w:szCs w:val="16"/>
        </w:rPr>
        <w:t>in</w:t>
      </w:r>
      <w:proofErr w:type="spellEnd"/>
      <w:r w:rsidRPr="00852A21">
        <w:rPr>
          <w:rStyle w:val="mw-mmv-title"/>
          <w:i/>
          <w:sz w:val="16"/>
          <w:szCs w:val="16"/>
        </w:rPr>
        <w:t xml:space="preserve"> 1872</w:t>
      </w:r>
      <w:r w:rsidRPr="00852A21">
        <w:rPr>
          <w:i/>
          <w:sz w:val="16"/>
          <w:szCs w:val="16"/>
        </w:rPr>
        <w:t xml:space="preserve">       </w:t>
      </w:r>
    </w:p>
    <w:p w:rsidR="00DC03BA" w:rsidRPr="00192D10" w:rsidRDefault="00DC03BA" w:rsidP="00DC03BA">
      <w:pPr>
        <w:spacing w:before="100" w:beforeAutospacing="1" w:after="100" w:afterAutospacing="1"/>
        <w:jc w:val="both"/>
      </w:pPr>
      <w:r w:rsidRPr="00192D10">
        <w:lastRenderedPageBreak/>
        <w:t xml:space="preserve">1861 m. Vagneris gavo leidimą grįžti į Vokietiją. 1864 m. jį pakvietė didelis jo muzikos gerbėjas Bavarijos karalius Liudvikas II. Materialinių rūpesčių nebevaržomas, Vagneris atsidėjo vien kūrybai: parašė komišką operą „Niurnbergo </w:t>
      </w:r>
      <w:proofErr w:type="spellStart"/>
      <w:r w:rsidRPr="00192D10">
        <w:t>meisterzingeriai</w:t>
      </w:r>
      <w:proofErr w:type="spellEnd"/>
      <w:r w:rsidRPr="00192D10">
        <w:t>“, baigė tetralogiją. Tai iškiliausias kompozitoriaus darbas. Visų keturių dramų veiksmas vyksta miglų gaubiamoje vokiečių mitų praeityje, jas sieja bendri veikėjai ir muzikiniai motyvai.</w:t>
      </w:r>
    </w:p>
    <w:p w:rsidR="00DC03BA" w:rsidRPr="00192D10" w:rsidRDefault="00DC03BA" w:rsidP="00DC03BA">
      <w:pPr>
        <w:pStyle w:val="prastasiniatinklio"/>
        <w:ind w:firstLine="360"/>
        <w:jc w:val="both"/>
      </w:pPr>
      <w:r w:rsidRPr="00192D10">
        <w:t>Liudvikas II padėjo įgyvendinti kompozitoriaus puoselėjamą svajonę apie nuosavą, vien jo muzikinėms dramoms skirtą teatrą. Paskutinis kompozitoriaus kūrinys buvo drama – misterija „</w:t>
      </w:r>
      <w:proofErr w:type="spellStart"/>
      <w:r w:rsidRPr="00192D10">
        <w:t>Parsifalis</w:t>
      </w:r>
      <w:proofErr w:type="spellEnd"/>
      <w:r w:rsidRPr="00192D10">
        <w:t>“.</w:t>
      </w:r>
    </w:p>
    <w:p w:rsidR="00DC03BA" w:rsidRDefault="00DC03BA">
      <w:pPr>
        <w:rPr>
          <w:rStyle w:val="mw-mmv-title"/>
          <w:sz w:val="16"/>
          <w:szCs w:val="16"/>
        </w:rPr>
      </w:pPr>
      <w:r>
        <w:t xml:space="preserve"> </w:t>
      </w:r>
      <w:r>
        <w:rPr>
          <w:noProof/>
        </w:rPr>
        <w:drawing>
          <wp:inline distT="0" distB="0" distL="0" distR="0" wp14:anchorId="5C1E88CF">
            <wp:extent cx="1371600" cy="204787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hyperlink r:id="rId8" w:tooltip="Ludwig II of Bavaria" w:history="1">
        <w:proofErr w:type="spellStart"/>
        <w:r w:rsidRPr="00852A21">
          <w:rPr>
            <w:rStyle w:val="Hipersaitas"/>
            <w:sz w:val="16"/>
            <w:szCs w:val="16"/>
          </w:rPr>
          <w:t>Ludwig</w:t>
        </w:r>
        <w:proofErr w:type="spellEnd"/>
        <w:r w:rsidRPr="00852A21">
          <w:rPr>
            <w:rStyle w:val="Hipersaitas"/>
            <w:sz w:val="16"/>
            <w:szCs w:val="16"/>
          </w:rPr>
          <w:t xml:space="preserve"> II </w:t>
        </w:r>
        <w:proofErr w:type="spellStart"/>
        <w:r w:rsidRPr="00852A21">
          <w:rPr>
            <w:rStyle w:val="Hipersaitas"/>
            <w:sz w:val="16"/>
            <w:szCs w:val="16"/>
          </w:rPr>
          <w:t>of</w:t>
        </w:r>
        <w:proofErr w:type="spellEnd"/>
        <w:r w:rsidRPr="00852A21">
          <w:rPr>
            <w:rStyle w:val="Hipersaitas"/>
            <w:sz w:val="16"/>
            <w:szCs w:val="16"/>
          </w:rPr>
          <w:t xml:space="preserve"> </w:t>
        </w:r>
        <w:proofErr w:type="spellStart"/>
        <w:r w:rsidRPr="00852A21">
          <w:rPr>
            <w:rStyle w:val="Hipersaitas"/>
            <w:sz w:val="16"/>
            <w:szCs w:val="16"/>
          </w:rPr>
          <w:t>Bavaria</w:t>
        </w:r>
        <w:proofErr w:type="spellEnd"/>
      </w:hyperlink>
      <w:r w:rsidRPr="00852A21">
        <w:rPr>
          <w:rStyle w:val="mw-mmv-title"/>
          <w:sz w:val="16"/>
          <w:szCs w:val="16"/>
        </w:rPr>
        <w:t xml:space="preserve"> .1865 m.</w:t>
      </w:r>
    </w:p>
    <w:p w:rsidR="00DC03BA" w:rsidRDefault="00DC03BA">
      <w:pPr>
        <w:rPr>
          <w:rStyle w:val="mw-mmv-title"/>
          <w:sz w:val="16"/>
          <w:szCs w:val="16"/>
        </w:rPr>
      </w:pPr>
      <w:r>
        <w:rPr>
          <w:rStyle w:val="mw-mmv-title"/>
          <w:sz w:val="16"/>
          <w:szCs w:val="16"/>
        </w:rPr>
        <w:t xml:space="preserve">    </w:t>
      </w:r>
    </w:p>
    <w:p w:rsidR="00DC03BA" w:rsidRDefault="00DC03BA">
      <w:r>
        <w:rPr>
          <w:noProof/>
        </w:rPr>
        <w:drawing>
          <wp:inline distT="0" distB="0" distL="0" distR="0" wp14:anchorId="5D54B96D">
            <wp:extent cx="2000250" cy="13716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73042189">
            <wp:extent cx="1971675" cy="1343025"/>
            <wp:effectExtent l="0" t="0" r="9525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DC03BA" w:rsidRPr="00852A21" w:rsidRDefault="00DC03BA" w:rsidP="00DC03BA">
      <w:pPr>
        <w:pStyle w:val="prastasiniatinklio"/>
        <w:ind w:firstLine="360"/>
        <w:jc w:val="both"/>
        <w:rPr>
          <w:sz w:val="20"/>
          <w:szCs w:val="20"/>
        </w:rPr>
      </w:pPr>
      <w:proofErr w:type="spellStart"/>
      <w:r w:rsidRPr="00852A21">
        <w:rPr>
          <w:rFonts w:ascii="Book Antiqua" w:hAnsi="Book Antiqua"/>
          <w:sz w:val="20"/>
          <w:szCs w:val="20"/>
        </w:rPr>
        <w:t>Bairoito</w:t>
      </w:r>
      <w:proofErr w:type="spellEnd"/>
      <w:r w:rsidRPr="00852A21">
        <w:rPr>
          <w:rFonts w:ascii="Book Antiqua" w:hAnsi="Book Antiqua"/>
          <w:sz w:val="20"/>
          <w:szCs w:val="20"/>
        </w:rPr>
        <w:t xml:space="preserve"> teatras                                                   R. Vagnerio kapas</w:t>
      </w:r>
    </w:p>
    <w:p w:rsidR="00DC03BA" w:rsidRPr="00192D10" w:rsidRDefault="00DC03BA" w:rsidP="00DC03BA">
      <w:pPr>
        <w:pStyle w:val="prastasiniatinklio"/>
        <w:jc w:val="both"/>
      </w:pPr>
      <w:r>
        <w:rPr>
          <w:rFonts w:ascii="Palatino Linotype" w:hAnsi="Palatino Linotype"/>
          <w:sz w:val="32"/>
          <w:szCs w:val="32"/>
        </w:rPr>
        <w:t xml:space="preserve">   </w:t>
      </w:r>
      <w:r w:rsidRPr="00192D10">
        <w:t xml:space="preserve">Vagneris mirė 1883 m. vasario 13 dieną Venecijoje, kur buvo nuvykęs gydytis. </w:t>
      </w:r>
    </w:p>
    <w:p w:rsidR="00DC03BA" w:rsidRDefault="00DC03BA" w:rsidP="00DC03BA">
      <w:pPr>
        <w:pStyle w:val="prastasiniatinklio"/>
        <w:jc w:val="both"/>
        <w:rPr>
          <w:rStyle w:val="mw-mmv-title"/>
          <w:i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CCCF645">
            <wp:extent cx="2209800" cy="1476375"/>
            <wp:effectExtent l="0" t="0" r="0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3BA">
        <w:rPr>
          <w:rStyle w:val="Hipersaitas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Unveiling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of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the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Richard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Wagner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Monument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in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the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</w:t>
      </w:r>
      <w:hyperlink r:id="rId12" w:tooltip="Tiergarten (park)" w:history="1">
        <w:proofErr w:type="spellStart"/>
        <w:r w:rsidRPr="00852A21">
          <w:rPr>
            <w:rStyle w:val="Hipersaitas"/>
            <w:i/>
            <w:color w:val="000000"/>
            <w:sz w:val="16"/>
            <w:szCs w:val="16"/>
          </w:rPr>
          <w:t>Tiergarten</w:t>
        </w:r>
        <w:proofErr w:type="spellEnd"/>
      </w:hyperlink>
      <w:r w:rsidRPr="00852A21">
        <w:rPr>
          <w:rStyle w:val="mw-mmv-title"/>
          <w:i/>
          <w:color w:val="000000"/>
          <w:sz w:val="16"/>
          <w:szCs w:val="16"/>
        </w:rPr>
        <w:t xml:space="preserve">, </w:t>
      </w:r>
      <w:proofErr w:type="spellStart"/>
      <w:r w:rsidRPr="00852A21">
        <w:rPr>
          <w:rStyle w:val="mw-mmv-title"/>
          <w:i/>
          <w:color w:val="000000"/>
          <w:sz w:val="16"/>
          <w:szCs w:val="16"/>
        </w:rPr>
        <w:t>Berlin</w:t>
      </w:r>
      <w:proofErr w:type="spellEnd"/>
      <w:r w:rsidRPr="00852A21">
        <w:rPr>
          <w:rStyle w:val="mw-mmv-title"/>
          <w:i/>
          <w:color w:val="000000"/>
          <w:sz w:val="16"/>
          <w:szCs w:val="16"/>
        </w:rPr>
        <w:t xml:space="preserve"> (1908)</w:t>
      </w:r>
    </w:p>
    <w:p w:rsidR="00DC03BA" w:rsidRDefault="00DC03BA" w:rsidP="00DC03BA">
      <w:pPr>
        <w:spacing w:before="100" w:beforeAutospacing="1" w:after="100" w:afterAutospacing="1"/>
        <w:jc w:val="both"/>
      </w:pPr>
      <w:r w:rsidRPr="00852A21">
        <w:rPr>
          <w:b/>
          <w:bCs/>
        </w:rPr>
        <w:t>Operos</w:t>
      </w:r>
      <w:r w:rsidRPr="00852A21">
        <w:t xml:space="preserve">. Visos kompozitoriaus operos parašytos pagal </w:t>
      </w:r>
      <w:r w:rsidRPr="00852A21">
        <w:rPr>
          <w:u w:val="single"/>
        </w:rPr>
        <w:t>legendas</w:t>
      </w:r>
      <w:r w:rsidRPr="00852A21">
        <w:t>. Kaip ir Verdi, jam rūpėjo stiprūs charakteriai, dvasinė drama. Pagrindinė jo operų tema – tragiška kova už laimę. Mėgstami simboliai, idėjos: garbė, neapykanta, kerštas, viltis, atgaila, o herojus gelbsti tik meilė ir pasiaukojimas.</w:t>
      </w:r>
      <w:r>
        <w:t xml:space="preserve"> </w:t>
      </w:r>
      <w:r w:rsidRPr="00852A21">
        <w:t xml:space="preserve">Operų dramaturgija grindžiama ištisiniu vystymu. Jis praturtino operą naujomis formomis : </w:t>
      </w:r>
      <w:r w:rsidRPr="00852A21">
        <w:rPr>
          <w:u w:val="single"/>
        </w:rPr>
        <w:t>monologu, dialogu</w:t>
      </w:r>
      <w:r w:rsidRPr="00852A21">
        <w:t>, s</w:t>
      </w:r>
      <w:r>
        <w:t xml:space="preserve">tambiais simfoniniais numeriais. </w:t>
      </w:r>
      <w:r w:rsidRPr="00852A21">
        <w:t xml:space="preserve"> Operose kompozitorius naudojo išplėtotą </w:t>
      </w:r>
      <w:r w:rsidRPr="00852A21">
        <w:rPr>
          <w:u w:val="single"/>
        </w:rPr>
        <w:t>leitmotyvų sistemą</w:t>
      </w:r>
      <w:r w:rsidRPr="00852A21">
        <w:t xml:space="preserve">. Beveik kiekvienoje brandžioje jo operoje jų yra nuo dvidešimt penkių iki trisdešimties. Kompozitorius naudojo ir temas simbolius. Visa tai </w:t>
      </w:r>
      <w:proofErr w:type="spellStart"/>
      <w:r w:rsidRPr="00852A21">
        <w:t>simfonizavo</w:t>
      </w:r>
      <w:proofErr w:type="spellEnd"/>
      <w:r w:rsidRPr="00852A21">
        <w:t xml:space="preserve"> operą.</w:t>
      </w:r>
    </w:p>
    <w:p w:rsidR="00DC03BA" w:rsidRPr="008B3753" w:rsidRDefault="00DC03BA" w:rsidP="00DC03BA">
      <w:pPr>
        <w:pStyle w:val="Pagrindinistekstas"/>
      </w:pPr>
      <w:r w:rsidRPr="008B3753">
        <w:rPr>
          <w:b/>
          <w:bCs/>
        </w:rPr>
        <w:lastRenderedPageBreak/>
        <w:t>„</w:t>
      </w:r>
      <w:proofErr w:type="spellStart"/>
      <w:r w:rsidRPr="008B3753">
        <w:rPr>
          <w:b/>
          <w:bCs/>
        </w:rPr>
        <w:t>Lohengrino</w:t>
      </w:r>
      <w:proofErr w:type="spellEnd"/>
      <w:r w:rsidRPr="008B3753">
        <w:rPr>
          <w:b/>
          <w:bCs/>
        </w:rPr>
        <w:t>“</w:t>
      </w:r>
      <w:r w:rsidRPr="008B3753">
        <w:t xml:space="preserve"> libreto pagrindas − įvairios legendos apie Gralio riterius, nenuilstamus kovotojus už teisybę. „</w:t>
      </w:r>
      <w:proofErr w:type="spellStart"/>
      <w:r w:rsidRPr="008B3753">
        <w:t>Lohengrinas</w:t>
      </w:r>
      <w:proofErr w:type="spellEnd"/>
      <w:r w:rsidRPr="008B3753">
        <w:t xml:space="preserve">“ yra pati tyriausia, </w:t>
      </w:r>
      <w:proofErr w:type="spellStart"/>
      <w:r w:rsidRPr="008B3753">
        <w:t>poetiškiausia</w:t>
      </w:r>
      <w:proofErr w:type="spellEnd"/>
      <w:r w:rsidRPr="008B3753">
        <w:t xml:space="preserve">, šviesiausia kompozitoriaus opera. </w:t>
      </w:r>
    </w:p>
    <w:p w:rsidR="00DC03BA" w:rsidRDefault="00DC03BA">
      <w:r>
        <w:rPr>
          <w:noProof/>
        </w:rPr>
        <w:drawing>
          <wp:inline distT="0" distB="0" distL="0" distR="0" wp14:anchorId="04C4EEC6">
            <wp:extent cx="3371215" cy="1695450"/>
            <wp:effectExtent l="0" t="0" r="63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3BA" w:rsidRDefault="00DC03BA"/>
    <w:p w:rsidR="00DC03BA" w:rsidRDefault="00DC03BA" w:rsidP="00DC03BA">
      <w:pPr>
        <w:spacing w:before="100" w:beforeAutospacing="1" w:after="100" w:afterAutospacing="1"/>
        <w:jc w:val="both"/>
        <w:rPr>
          <w:b/>
          <w:bCs/>
        </w:rPr>
      </w:pPr>
      <w:r w:rsidRPr="008B3753">
        <w:t>Didžiulio populiarumo sulaukė simfoninis paveikslas „</w:t>
      </w:r>
      <w:proofErr w:type="spellStart"/>
      <w:r w:rsidRPr="008B3753">
        <w:t>Valkirijų</w:t>
      </w:r>
      <w:proofErr w:type="spellEnd"/>
      <w:r w:rsidRPr="008B3753">
        <w:t xml:space="preserve"> skrydis“ iš </w:t>
      </w:r>
      <w:r w:rsidRPr="008B3753">
        <w:rPr>
          <w:b/>
          <w:bCs/>
        </w:rPr>
        <w:t>operos „</w:t>
      </w:r>
      <w:proofErr w:type="spellStart"/>
      <w:r w:rsidRPr="008B3753">
        <w:rPr>
          <w:b/>
          <w:bCs/>
        </w:rPr>
        <w:t>Valkirija</w:t>
      </w:r>
      <w:proofErr w:type="spellEnd"/>
      <w:r w:rsidRPr="008B3753">
        <w:rPr>
          <w:b/>
          <w:bCs/>
        </w:rPr>
        <w:t>“</w:t>
      </w:r>
    </w:p>
    <w:p w:rsidR="00DC03BA" w:rsidRPr="00043AE3" w:rsidRDefault="00DC03BA" w:rsidP="00DC03BA">
      <w:pPr>
        <w:pStyle w:val="Pagrindinistekstas"/>
        <w:rPr>
          <w:b/>
          <w:sz w:val="20"/>
          <w:szCs w:val="20"/>
        </w:rPr>
      </w:pPr>
      <w:r>
        <w:rPr>
          <w:b/>
        </w:rPr>
        <w:t xml:space="preserve">       </w:t>
      </w:r>
      <w:hyperlink r:id="rId14" w:history="1">
        <w:r w:rsidRPr="00043AE3">
          <w:rPr>
            <w:rStyle w:val="Hipersaitas"/>
            <w:b/>
            <w:sz w:val="20"/>
            <w:szCs w:val="20"/>
          </w:rPr>
          <w:t>R. Vagneris. Opera „</w:t>
        </w:r>
        <w:proofErr w:type="spellStart"/>
        <w:r w:rsidRPr="00043AE3">
          <w:rPr>
            <w:rStyle w:val="Hipersaitas"/>
            <w:b/>
            <w:sz w:val="20"/>
            <w:szCs w:val="20"/>
          </w:rPr>
          <w:t>Valkirija</w:t>
        </w:r>
        <w:proofErr w:type="spellEnd"/>
        <w:r w:rsidRPr="00043AE3">
          <w:rPr>
            <w:rStyle w:val="Hipersaitas"/>
            <w:b/>
            <w:sz w:val="20"/>
            <w:szCs w:val="20"/>
          </w:rPr>
          <w:t xml:space="preserve">“: </w:t>
        </w:r>
        <w:r w:rsidRPr="00043AE3">
          <w:rPr>
            <w:rStyle w:val="Hipersaitas"/>
            <w:b/>
            <w:i/>
            <w:iCs/>
            <w:sz w:val="20"/>
            <w:szCs w:val="20"/>
          </w:rPr>
          <w:t>simfoninis paveikslas „</w:t>
        </w:r>
        <w:proofErr w:type="spellStart"/>
        <w:r w:rsidRPr="00043AE3">
          <w:rPr>
            <w:rStyle w:val="Hipersaitas"/>
            <w:b/>
            <w:i/>
            <w:iCs/>
            <w:sz w:val="20"/>
            <w:szCs w:val="20"/>
          </w:rPr>
          <w:t>Valkirija</w:t>
        </w:r>
        <w:proofErr w:type="spellEnd"/>
        <w:r w:rsidRPr="00043AE3">
          <w:rPr>
            <w:rStyle w:val="Hipersaitas"/>
            <w:b/>
            <w:i/>
            <w:iCs/>
            <w:sz w:val="20"/>
            <w:szCs w:val="20"/>
          </w:rPr>
          <w:t>“</w:t>
        </w:r>
      </w:hyperlink>
    </w:p>
    <w:p w:rsidR="00DC03BA" w:rsidRDefault="00DC03BA" w:rsidP="00DC03BA">
      <w:pPr>
        <w:rPr>
          <w:i/>
        </w:rPr>
      </w:pPr>
      <w:r>
        <w:rPr>
          <w:i/>
        </w:rPr>
        <w:t xml:space="preserve">        </w:t>
      </w:r>
      <w:hyperlink r:id="rId15" w:history="1">
        <w:r w:rsidRPr="008B3753">
          <w:rPr>
            <w:rStyle w:val="Hipersaitas"/>
            <w:i/>
          </w:rPr>
          <w:t>https://www.youtube.com/watch?v=P73Z6291Pt8</w:t>
        </w:r>
      </w:hyperlink>
    </w:p>
    <w:p w:rsidR="00DC03BA" w:rsidRDefault="00DC03BA" w:rsidP="00DC03BA"/>
    <w:p w:rsidR="00A87B24" w:rsidRDefault="00A87B24" w:rsidP="00DC03BA">
      <w:r>
        <w:rPr>
          <w:noProof/>
        </w:rPr>
        <w:drawing>
          <wp:inline distT="0" distB="0" distL="0" distR="0" wp14:anchorId="087D5932">
            <wp:extent cx="1295400" cy="1838325"/>
            <wp:effectExtent l="0" t="0" r="0" b="9525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0ADBABA">
            <wp:extent cx="1295400" cy="184785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B24" w:rsidRPr="008B3753" w:rsidRDefault="00A87B24" w:rsidP="00A87B24">
      <w:pPr>
        <w:pStyle w:val="Pagrindinistekstas"/>
        <w:rPr>
          <w:color w:val="000000"/>
          <w:sz w:val="16"/>
          <w:szCs w:val="16"/>
        </w:rPr>
      </w:pPr>
      <w:hyperlink r:id="rId18" w:tooltip="Brünnhilde" w:history="1">
        <w:proofErr w:type="spellStart"/>
        <w:r w:rsidRPr="008B3753">
          <w:rPr>
            <w:rStyle w:val="Hipersaitas"/>
            <w:color w:val="000000"/>
            <w:sz w:val="16"/>
            <w:szCs w:val="16"/>
          </w:rPr>
          <w:t>Brünnhilde</w:t>
        </w:r>
        <w:proofErr w:type="spellEnd"/>
      </w:hyperlink>
      <w:r w:rsidRPr="008B3753">
        <w:rPr>
          <w:rStyle w:val="mw-mmv-title"/>
          <w:color w:val="000000"/>
          <w:sz w:val="16"/>
          <w:szCs w:val="16"/>
        </w:rPr>
        <w:t xml:space="preserve"> </w:t>
      </w:r>
      <w:proofErr w:type="spellStart"/>
      <w:r w:rsidRPr="008B3753">
        <w:rPr>
          <w:rStyle w:val="mw-mmv-title"/>
          <w:color w:val="000000"/>
          <w:sz w:val="16"/>
          <w:szCs w:val="16"/>
        </w:rPr>
        <w:t>the</w:t>
      </w:r>
      <w:proofErr w:type="spellEnd"/>
      <w:r w:rsidRPr="008B3753">
        <w:rPr>
          <w:rStyle w:val="mw-mmv-title"/>
          <w:color w:val="000000"/>
          <w:sz w:val="16"/>
          <w:szCs w:val="16"/>
        </w:rPr>
        <w:t xml:space="preserve"> </w:t>
      </w:r>
      <w:hyperlink r:id="rId19" w:tooltip="Valkyrie" w:history="1">
        <w:proofErr w:type="spellStart"/>
        <w:r w:rsidRPr="008B3753">
          <w:rPr>
            <w:rStyle w:val="Hipersaitas"/>
            <w:color w:val="000000"/>
            <w:sz w:val="16"/>
            <w:szCs w:val="16"/>
          </w:rPr>
          <w:t>Valkyrie</w:t>
        </w:r>
        <w:proofErr w:type="spellEnd"/>
      </w:hyperlink>
      <w:r w:rsidRPr="008B3753">
        <w:rPr>
          <w:rStyle w:val="mw-mmv-title"/>
          <w:color w:val="000000"/>
          <w:sz w:val="16"/>
          <w:szCs w:val="16"/>
        </w:rPr>
        <w:t xml:space="preserve">, </w:t>
      </w:r>
      <w:proofErr w:type="spellStart"/>
      <w:r w:rsidRPr="008B3753">
        <w:rPr>
          <w:rStyle w:val="mw-mmv-title"/>
          <w:color w:val="000000"/>
          <w:sz w:val="16"/>
          <w:szCs w:val="16"/>
        </w:rPr>
        <w:t>as</w:t>
      </w:r>
      <w:proofErr w:type="spellEnd"/>
      <w:r w:rsidRPr="008B3753">
        <w:rPr>
          <w:rStyle w:val="mw-mmv-title"/>
          <w:color w:val="000000"/>
          <w:sz w:val="16"/>
          <w:szCs w:val="16"/>
        </w:rPr>
        <w:t xml:space="preserve"> </w:t>
      </w:r>
      <w:proofErr w:type="spellStart"/>
      <w:r w:rsidRPr="008B3753">
        <w:rPr>
          <w:rStyle w:val="mw-mmv-title"/>
          <w:color w:val="000000"/>
          <w:sz w:val="16"/>
          <w:szCs w:val="16"/>
        </w:rPr>
        <w:t>illustrated</w:t>
      </w:r>
      <w:proofErr w:type="spellEnd"/>
      <w:r w:rsidRPr="008B3753">
        <w:rPr>
          <w:rStyle w:val="mw-mmv-title"/>
          <w:color w:val="000000"/>
          <w:sz w:val="16"/>
          <w:szCs w:val="16"/>
        </w:rPr>
        <w:t xml:space="preserve"> </w:t>
      </w:r>
      <w:proofErr w:type="spellStart"/>
      <w:r w:rsidRPr="008B3753">
        <w:rPr>
          <w:rStyle w:val="mw-mmv-title"/>
          <w:color w:val="000000"/>
          <w:sz w:val="16"/>
          <w:szCs w:val="16"/>
        </w:rPr>
        <w:t>by</w:t>
      </w:r>
      <w:proofErr w:type="spellEnd"/>
      <w:r w:rsidRPr="008B3753">
        <w:rPr>
          <w:rStyle w:val="mw-mmv-title"/>
          <w:color w:val="000000"/>
          <w:sz w:val="16"/>
          <w:szCs w:val="16"/>
        </w:rPr>
        <w:t xml:space="preserve"> </w:t>
      </w:r>
      <w:hyperlink r:id="rId20" w:tooltip="Arthur Rackham" w:history="1">
        <w:proofErr w:type="spellStart"/>
        <w:r w:rsidRPr="008B3753">
          <w:rPr>
            <w:rStyle w:val="Hipersaitas"/>
            <w:color w:val="000000"/>
            <w:sz w:val="16"/>
            <w:szCs w:val="16"/>
          </w:rPr>
          <w:t>Arthur</w:t>
        </w:r>
        <w:proofErr w:type="spellEnd"/>
        <w:r w:rsidRPr="008B3753">
          <w:rPr>
            <w:rStyle w:val="Hipersaitas"/>
            <w:color w:val="000000"/>
            <w:sz w:val="16"/>
            <w:szCs w:val="16"/>
          </w:rPr>
          <w:t xml:space="preserve"> </w:t>
        </w:r>
        <w:proofErr w:type="spellStart"/>
        <w:r w:rsidRPr="008B3753">
          <w:rPr>
            <w:rStyle w:val="Hipersaitas"/>
            <w:color w:val="000000"/>
            <w:sz w:val="16"/>
            <w:szCs w:val="16"/>
          </w:rPr>
          <w:t>Rackham</w:t>
        </w:r>
        <w:proofErr w:type="spellEnd"/>
      </w:hyperlink>
      <w:r w:rsidRPr="008B3753">
        <w:rPr>
          <w:rStyle w:val="mw-mmv-title"/>
          <w:color w:val="000000"/>
          <w:sz w:val="16"/>
          <w:szCs w:val="16"/>
        </w:rPr>
        <w:t xml:space="preserve"> (1910)</w:t>
      </w:r>
    </w:p>
    <w:p w:rsidR="00A87B24" w:rsidRDefault="00A87B24" w:rsidP="00DC03BA"/>
    <w:sectPr w:rsidR="00A87B24" w:rsidSect="00DC03BA"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BA"/>
    <w:rsid w:val="00692D9C"/>
    <w:rsid w:val="00A87B24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804"/>
  <w15:chartTrackingRefBased/>
  <w15:docId w15:val="{E21A8EFC-2681-484C-9E5F-473B953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DC03BA"/>
    <w:pPr>
      <w:spacing w:before="100" w:beforeAutospacing="1" w:after="100" w:afterAutospacing="1"/>
    </w:pPr>
  </w:style>
  <w:style w:type="character" w:customStyle="1" w:styleId="mw-mmv-title">
    <w:name w:val="mw-mmv-title"/>
    <w:basedOn w:val="Numatytasispastraiposriftas"/>
    <w:rsid w:val="00DC03BA"/>
  </w:style>
  <w:style w:type="character" w:styleId="Hipersaitas">
    <w:name w:val="Hyperlink"/>
    <w:basedOn w:val="Numatytasispastraiposriftas"/>
    <w:rsid w:val="00DC03B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DC03BA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C03B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udwig_II_of_Bavaria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en.wikipedia.org/wiki/Br%C3%BCnnhil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en.wikipedia.org/wiki/Tiergarten_(park)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en.wikipedia.org/wiki/Arthur_Rackha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P73Z6291Pt8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en.wikipedia.org/wiki/Valkyri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projektas-muzika.lmta.lt/media/Sugintiene/cd4/Wagner%20-%20Valkirija.%20Simf.%20paveikslas%20Valkirija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Vilija</cp:lastModifiedBy>
  <cp:revision>1</cp:revision>
  <dcterms:created xsi:type="dcterms:W3CDTF">2020-05-15T10:47:00Z</dcterms:created>
  <dcterms:modified xsi:type="dcterms:W3CDTF">2020-05-15T11:00:00Z</dcterms:modified>
</cp:coreProperties>
</file>